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Arial" w:hAnsi="Arial"/>
          <w:b/>
          <w:i w:val="0"/>
          <w:color w:val="102C55"/>
          <w:sz w:val="38"/>
        </w:rPr>
        <w:t>FICHE TECHNIQUE PRODUIT</w:t>
      </w:r>
    </w:p>
    <w:p>
      <w:pPr>
        <w:spacing w:after="140"/>
        <w:jc w:val="center"/>
      </w:pPr>
      <w:r>
        <w:rPr>
          <w:rFonts w:ascii="Arial" w:hAnsi="Arial"/>
          <w:b/>
          <w:i w:val="0"/>
          <w:color w:val="D71920"/>
          <w:sz w:val="32"/>
        </w:rPr>
        <w:t>42CrMo4 / 42CD4 / AISI-SAE 4140</w:t>
      </w:r>
    </w:p>
    <w:tbl>
      <w:tblPr>
        <w:tblW w:type="auto" w:w="0"/>
        <w:jc w:val="center"/>
        <w:tblLook w:firstColumn="1" w:firstRow="1" w:lastColumn="0" w:lastRow="0" w:noHBand="0" w:noVBand="1" w:val="04A0"/>
      </w:tblPr>
      <w:tblGrid>
        <w:gridCol w:w="5188"/>
        <w:gridCol w:w="5188"/>
      </w:tblGrid>
      <w:tr>
        <w:tc>
          <w:tcPr>
            <w:tcW w:type="dxa" w:w="5188"/>
            <w:shd w:fill="102C55"/>
            <w:tcMar>
              <w:top w:w="45" w:type="dxa"/>
              <w:start w:w="65" w:type="dxa"/>
              <w:bottom w:w="45" w:type="dxa"/>
              <w:end w:w="65" w:type="dxa"/>
            </w:tcMar>
          </w:tcPr>
          <w:p>
            <w:r>
              <w:rPr>
                <w:rFonts w:ascii="Arial" w:hAnsi="Arial"/>
                <w:b/>
                <w:color w:val="FFFFFF"/>
                <w:sz w:val="16"/>
              </w:rPr>
              <w:t>Désignation EN</w:t>
            </w:r>
          </w:p>
        </w:tc>
        <w:tc>
          <w:tcPr>
            <w:tcW w:type="dxa" w:w="5188"/>
            <w:shd w:fill="F7F9FC"/>
            <w:tcMar>
              <w:top w:w="45" w:type="dxa"/>
              <w:start w:w="65" w:type="dxa"/>
              <w:bottom w:w="45" w:type="dxa"/>
              <w:end w:w="65" w:type="dxa"/>
            </w:tcMar>
          </w:tcPr>
          <w:p>
            <w:r>
              <w:rPr>
                <w:rFonts w:ascii="Arial" w:hAnsi="Arial"/>
                <w:b/>
                <w:color w:val="1E293B"/>
                <w:sz w:val="16"/>
              </w:rPr>
              <w:t>42CrMo4</w:t>
            </w:r>
          </w:p>
        </w:tc>
      </w:tr>
      <w:tr>
        <w:tc>
          <w:tcPr>
            <w:tcW w:type="dxa" w:w="5188"/>
            <w:shd w:fill="102C55"/>
            <w:tcMar>
              <w:top w:w="45" w:type="dxa"/>
              <w:start w:w="65" w:type="dxa"/>
              <w:bottom w:w="45" w:type="dxa"/>
              <w:end w:w="65" w:type="dxa"/>
            </w:tcMar>
          </w:tcPr>
          <w:p>
            <w:r>
              <w:rPr>
                <w:rFonts w:ascii="Arial" w:hAnsi="Arial"/>
                <w:b/>
                <w:color w:val="FFFFFF"/>
                <w:sz w:val="16"/>
              </w:rPr>
              <w:t>Ancienne désignation française AFNOR</w:t>
            </w:r>
          </w:p>
        </w:tc>
        <w:tc>
          <w:tcPr>
            <w:tcW w:type="dxa" w:w="5188"/>
            <w:shd w:fill="F7F9FC"/>
            <w:tcMar>
              <w:top w:w="45" w:type="dxa"/>
              <w:start w:w="65" w:type="dxa"/>
              <w:bottom w:w="45" w:type="dxa"/>
              <w:end w:w="65" w:type="dxa"/>
            </w:tcMar>
          </w:tcPr>
          <w:p>
            <w:r>
              <w:rPr>
                <w:rFonts w:ascii="Arial" w:hAnsi="Arial"/>
                <w:b/>
                <w:color w:val="1E293B"/>
                <w:sz w:val="16"/>
              </w:rPr>
              <w:t>42CD4</w:t>
            </w:r>
          </w:p>
        </w:tc>
      </w:tr>
      <w:tr>
        <w:tc>
          <w:tcPr>
            <w:tcW w:type="dxa" w:w="5188"/>
            <w:shd w:fill="102C55"/>
            <w:tcMar>
              <w:top w:w="45" w:type="dxa"/>
              <w:start w:w="65" w:type="dxa"/>
              <w:bottom w:w="45" w:type="dxa"/>
              <w:end w:w="65" w:type="dxa"/>
            </w:tcMar>
          </w:tcPr>
          <w:p>
            <w:r>
              <w:rPr>
                <w:rFonts w:ascii="Arial" w:hAnsi="Arial"/>
                <w:b/>
                <w:color w:val="FFFFFF"/>
                <w:sz w:val="16"/>
              </w:rPr>
              <w:t>N° matière</w:t>
            </w:r>
          </w:p>
        </w:tc>
        <w:tc>
          <w:tcPr>
            <w:tcW w:type="dxa" w:w="5188"/>
            <w:shd w:fill="F7F9FC"/>
            <w:tcMar>
              <w:top w:w="45" w:type="dxa"/>
              <w:start w:w="65" w:type="dxa"/>
              <w:bottom w:w="45" w:type="dxa"/>
              <w:end w:w="65" w:type="dxa"/>
            </w:tcMar>
          </w:tcPr>
          <w:p>
            <w:r>
              <w:rPr>
                <w:rFonts w:ascii="Arial" w:hAnsi="Arial"/>
                <w:b/>
                <w:color w:val="1E293B"/>
                <w:sz w:val="16"/>
              </w:rPr>
              <w:t>1.7225</w:t>
            </w:r>
          </w:p>
        </w:tc>
      </w:tr>
      <w:tr>
        <w:tc>
          <w:tcPr>
            <w:tcW w:type="dxa" w:w="5188"/>
            <w:shd w:fill="102C55"/>
            <w:tcMar>
              <w:top w:w="45" w:type="dxa"/>
              <w:start w:w="65" w:type="dxa"/>
              <w:bottom w:w="45" w:type="dxa"/>
              <w:end w:w="65" w:type="dxa"/>
            </w:tcMar>
          </w:tcPr>
          <w:p>
            <w:r>
              <w:rPr>
                <w:rFonts w:ascii="Arial" w:hAnsi="Arial"/>
                <w:b/>
                <w:color w:val="FFFFFF"/>
                <w:sz w:val="16"/>
              </w:rPr>
              <w:t>Équivalent AISI / SAE</w:t>
            </w:r>
          </w:p>
        </w:tc>
        <w:tc>
          <w:tcPr>
            <w:tcW w:type="dxa" w:w="5188"/>
            <w:shd w:fill="F7F9FC"/>
            <w:tcMar>
              <w:top w:w="45" w:type="dxa"/>
              <w:start w:w="65" w:type="dxa"/>
              <w:bottom w:w="45" w:type="dxa"/>
              <w:end w:w="65" w:type="dxa"/>
            </w:tcMar>
          </w:tcPr>
          <w:p>
            <w:r>
              <w:rPr>
                <w:rFonts w:ascii="Arial" w:hAnsi="Arial"/>
                <w:b/>
                <w:color w:val="1E293B"/>
                <w:sz w:val="16"/>
              </w:rPr>
              <w:t>4140</w:t>
            </w:r>
          </w:p>
        </w:tc>
      </w:tr>
      <w:tr>
        <w:tc>
          <w:tcPr>
            <w:tcW w:type="dxa" w:w="5188"/>
            <w:shd w:fill="102C55"/>
            <w:tcMar>
              <w:top w:w="45" w:type="dxa"/>
              <w:start w:w="65" w:type="dxa"/>
              <w:bottom w:w="45" w:type="dxa"/>
              <w:end w:w="65" w:type="dxa"/>
            </w:tcMar>
          </w:tcPr>
          <w:p>
            <w:r>
              <w:rPr>
                <w:rFonts w:ascii="Arial" w:hAnsi="Arial"/>
                <w:b/>
                <w:color w:val="FFFFFF"/>
                <w:sz w:val="16"/>
              </w:rPr>
              <w:t>Famille</w:t>
            </w:r>
          </w:p>
        </w:tc>
        <w:tc>
          <w:tcPr>
            <w:tcW w:type="dxa" w:w="5188"/>
            <w:shd w:fill="F7F9FC"/>
            <w:tcMar>
              <w:top w:w="45" w:type="dxa"/>
              <w:start w:w="65" w:type="dxa"/>
              <w:bottom w:w="45" w:type="dxa"/>
              <w:end w:w="65" w:type="dxa"/>
            </w:tcMar>
          </w:tcPr>
          <w:p>
            <w:r>
              <w:rPr>
                <w:rFonts w:ascii="Arial" w:hAnsi="Arial"/>
                <w:b/>
                <w:color w:val="1E293B"/>
                <w:sz w:val="16"/>
              </w:rPr>
              <w:t>Acier allié au chrome-molybdène pour trempe et revenu</w:t>
            </w:r>
          </w:p>
        </w:tc>
      </w:tr>
    </w:tbl>
    <w:p>
      <w:pPr>
        <w:spacing w:after="0"/>
      </w:pPr>
    </w:p>
    <w:tbl>
      <w:tblPr>
        <w:tblW w:type="auto" w:w="0"/>
        <w:jc w:val="center"/>
        <w:tblLook w:firstColumn="1" w:firstRow="1" w:lastColumn="0" w:lastRow="0" w:noHBand="0" w:noVBand="1" w:val="04A0"/>
      </w:tblPr>
      <w:tblGrid>
        <w:gridCol w:w="10376"/>
      </w:tblGrid>
      <w:tr>
        <w:tc>
          <w:tcPr>
            <w:tcW w:type="dxa" w:w="10376"/>
            <w:shd w:fill="102C55"/>
            <w:tcMar>
              <w:top w:w="75" w:type="dxa"/>
              <w:start w:w="110" w:type="dxa"/>
              <w:bottom w:w="75" w:type="dxa"/>
              <w:end w:w="110" w:type="dxa"/>
            </w:tcMar>
          </w:tcPr>
          <w:p>
            <w:pPr>
              <w:spacing w:after="0"/>
            </w:pPr>
            <w:r>
              <w:rPr>
                <w:rFonts w:ascii="Arial" w:hAnsi="Arial"/>
                <w:b/>
                <w:i w:val="0"/>
                <w:color w:val="FFFFFF"/>
                <w:sz w:val="23"/>
              </w:rPr>
              <w:t>1. PROPRIÉTÉS MÉCANIQUES ET MÉTALLURGIQUES</w:t>
            </w:r>
          </w:p>
        </w:tc>
      </w:tr>
    </w:tbl>
    <w:p>
      <w:pPr>
        <w:spacing w:after="20" w:before="0"/>
      </w:pPr>
    </w:p>
    <w:p>
      <w:pPr>
        <w:spacing w:after="80" w:line="247" w:lineRule="auto"/>
      </w:pPr>
      <w:r>
        <w:rPr>
          <w:rFonts w:ascii="Arial" w:hAnsi="Arial"/>
          <w:b w:val="0"/>
          <w:i w:val="0"/>
          <w:color w:val="1E293B"/>
          <w:sz w:val="18"/>
        </w:rPr>
        <w:t>L’acier 42CrMo4 (42CD4 / AISI 4140) est un acier allié au chrome-molybdène destiné principalement aux applications nécessitant une combinaison élevée de résistance mécanique, de ténacité, de résistance à la fatigue et de bonne aptitude au traitement thermique.</w:t>
      </w:r>
    </w:p>
    <w:p>
      <w:pPr>
        <w:spacing w:after="80" w:line="247" w:lineRule="auto"/>
      </w:pPr>
      <w:r>
        <w:rPr>
          <w:rFonts w:ascii="Arial" w:hAnsi="Arial"/>
          <w:b w:val="0"/>
          <w:i w:val="0"/>
          <w:color w:val="1E293B"/>
          <w:sz w:val="18"/>
        </w:rPr>
        <w:t>Sa composition chimique comprend notamment environ 0,38 à 0,45 % de carbone, 0,60 à 0,90 % de manganèse, jusqu’à 0,40 % de silicium, 0,90 à 1,20 % de chrome et 0,15 à 0,30 % de molybdène.</w:t>
      </w:r>
    </w:p>
    <w:p>
      <w:pPr>
        <w:spacing w:after="80" w:line="247" w:lineRule="auto"/>
      </w:pPr>
      <w:r>
        <w:rPr>
          <w:rFonts w:ascii="Arial" w:hAnsi="Arial"/>
          <w:b w:val="0"/>
          <w:i w:val="0"/>
          <w:color w:val="1E293B"/>
          <w:sz w:val="18"/>
        </w:rPr>
        <w:t>Le chrome contribue principalement à l’augmentation de la trempabilité, de la résistance à l’usure et de la dureté après traitement thermique. Il participe également à la formation de carbures et ralentit certaines transformations diffusives lors du refroidissement, ce qui favorise une profondeur de durcissement supérieure à celle d’un acier au carbone non allié de teneur comparable.</w:t>
      </w:r>
    </w:p>
    <w:p>
      <w:pPr>
        <w:spacing w:after="80" w:line="247" w:lineRule="auto"/>
      </w:pPr>
      <w:r>
        <w:rPr>
          <w:rFonts w:ascii="Arial" w:hAnsi="Arial"/>
          <w:b w:val="0"/>
          <w:i w:val="0"/>
          <w:color w:val="1E293B"/>
          <w:sz w:val="18"/>
        </w:rPr>
        <w:t>Dans le 42CrMo4, la teneur en chrome reste de l’ordre de 1 % : il ne s’agit donc pas d’un acier inoxydable et sa résistance à la corrosion ne doit pas être assimilée à celle des aciers fortement alliés au chrome.</w:t>
      </w:r>
    </w:p>
    <w:p>
      <w:pPr>
        <w:spacing w:after="80" w:line="247" w:lineRule="auto"/>
      </w:pPr>
      <w:r>
        <w:rPr>
          <w:rFonts w:ascii="Arial" w:hAnsi="Arial"/>
          <w:b w:val="0"/>
          <w:i w:val="0"/>
          <w:color w:val="1E293B"/>
          <w:sz w:val="18"/>
        </w:rPr>
        <w:t>Le molybdène améliore la trempabilité et contribue à réduire la sensibilité à la fragilisation au revenu. Associé au chrome, il permet de conserver un bon compromis entre résistance, dureté et ténacité, notamment pour les sections plus importantes.</w:t>
      </w:r>
    </w:p>
    <w:tbl>
      <w:tblPr>
        <w:tblW w:type="auto" w:w="0"/>
        <w:jc w:val="center"/>
        <w:tblLook w:firstColumn="1" w:firstRow="1" w:lastColumn="0" w:lastRow="0" w:noHBand="0" w:noVBand="1" w:val="04A0"/>
      </w:tblPr>
      <w:tblGrid>
        <w:gridCol w:w="10376"/>
      </w:tblGrid>
      <w:tr>
        <w:tc>
          <w:tcPr>
            <w:tcW w:type="dxa" w:w="10376"/>
            <w:shd w:fill="102C55"/>
            <w:tcMar>
              <w:top w:w="75" w:type="dxa"/>
              <w:start w:w="110" w:type="dxa"/>
              <w:bottom w:w="75" w:type="dxa"/>
              <w:end w:w="110" w:type="dxa"/>
            </w:tcMar>
          </w:tcPr>
          <w:p>
            <w:pPr>
              <w:spacing w:after="0"/>
            </w:pPr>
            <w:r>
              <w:rPr>
                <w:rFonts w:ascii="Arial" w:hAnsi="Arial"/>
                <w:b/>
                <w:i w:val="0"/>
                <w:color w:val="FFFFFF"/>
                <w:sz w:val="23"/>
              </w:rPr>
              <w:t>2. MICROSTRUCTURE ET TRAITEMENT THERMIQUE</w:t>
            </w:r>
          </w:p>
        </w:tc>
      </w:tr>
    </w:tbl>
    <w:p>
      <w:pPr>
        <w:spacing w:after="20" w:before="0"/>
      </w:pPr>
    </w:p>
    <w:p>
      <w:pPr>
        <w:spacing w:after="80" w:line="247" w:lineRule="auto"/>
      </w:pPr>
      <w:r>
        <w:rPr>
          <w:rFonts w:ascii="Arial" w:hAnsi="Arial"/>
          <w:b w:val="0"/>
          <w:i w:val="0"/>
          <w:color w:val="1E293B"/>
          <w:sz w:val="18"/>
        </w:rPr>
        <w:t>La microstructure du 42CrMo4 dépend directement de son état de livraison et de son traitement thermique. À l’état recuit ou normalisé, sa structure est principalement constituée de ferrite et de perlite. Après austénitisation et trempe, une structure majoritairement martensitique peut être obtenue. Après revenu, cette martensite évolue vers une martensite revenue, recherchée pour obtenir simultanément résistance mécanique élevée et bonne ténacité.</w:t>
      </w:r>
    </w:p>
    <w:tbl>
      <w:tblPr>
        <w:tblW w:type="auto" w:w="0"/>
        <w:jc w:val="center"/>
        <w:tblLayout w:type="fixed"/>
        <w:tblLook w:firstColumn="1" w:firstRow="1" w:lastColumn="0" w:lastRow="0" w:noHBand="0" w:noVBand="1" w:val="04A0"/>
      </w:tblPr>
      <w:tblGrid>
        <w:gridCol w:w="5188"/>
        <w:gridCol w:w="5188"/>
      </w:tblGrid>
      <w:tr>
        <w:trPr>
          <w:tblHeader w:val="true"/>
        </w:trPr>
        <w:tc>
          <w:tcPr>
            <w:tcW w:type="dxa" w:w="4649"/>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102C55"/>
          </w:tcPr>
          <w:p>
            <w:pPr>
              <w:spacing w:after="0"/>
              <w:jc w:val="center"/>
            </w:pPr>
            <w:r>
              <w:rPr>
                <w:rFonts w:ascii="Arial" w:hAnsi="Arial"/>
                <w:b/>
                <w:color w:val="FFFFFF"/>
                <w:sz w:val="16"/>
              </w:rPr>
              <w:t>Opération</w:t>
            </w:r>
          </w:p>
        </w:tc>
        <w:tc>
          <w:tcPr>
            <w:tcW w:type="dxa" w:w="5556"/>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102C55"/>
          </w:tcPr>
          <w:p>
            <w:pPr>
              <w:spacing w:after="0"/>
              <w:jc w:val="center"/>
            </w:pPr>
            <w:r>
              <w:rPr>
                <w:rFonts w:ascii="Arial" w:hAnsi="Arial"/>
                <w:b/>
                <w:color w:val="FFFFFF"/>
                <w:sz w:val="16"/>
              </w:rPr>
              <w:t>Plage indicative</w:t>
            </w:r>
          </w:p>
        </w:tc>
      </w:tr>
      <w:tr>
        <w:tc>
          <w:tcPr>
            <w:tcW w:type="dxa" w:w="4649"/>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6"/>
              </w:rPr>
              <w:t>Façonnage à chaud</w:t>
            </w:r>
          </w:p>
        </w:tc>
        <w:tc>
          <w:tcPr>
            <w:tcW w:type="dxa" w:w="5556"/>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6"/>
              </w:rPr>
              <w:t>850 - 1050 °C</w:t>
            </w:r>
          </w:p>
        </w:tc>
      </w:tr>
      <w:tr>
        <w:tc>
          <w:tcPr>
            <w:tcW w:type="dxa" w:w="4649"/>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F8FAFC"/>
          </w:tcPr>
          <w:p>
            <w:pPr>
              <w:spacing w:after="0"/>
              <w:jc w:val="center"/>
            </w:pPr>
            <w:r>
              <w:rPr>
                <w:rFonts w:ascii="Arial" w:hAnsi="Arial"/>
                <w:color w:val="1E293B"/>
                <w:sz w:val="16"/>
              </w:rPr>
              <w:t>Normalisation</w:t>
            </w:r>
          </w:p>
        </w:tc>
        <w:tc>
          <w:tcPr>
            <w:tcW w:type="dxa" w:w="5556"/>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F8FAFC"/>
          </w:tcPr>
          <w:p>
            <w:pPr>
              <w:spacing w:after="0"/>
              <w:jc w:val="center"/>
            </w:pPr>
            <w:r>
              <w:rPr>
                <w:rFonts w:ascii="Arial" w:hAnsi="Arial"/>
                <w:color w:val="1E293B"/>
                <w:sz w:val="16"/>
              </w:rPr>
              <w:t>840 - 880 °C</w:t>
            </w:r>
          </w:p>
        </w:tc>
      </w:tr>
      <w:tr>
        <w:tc>
          <w:tcPr>
            <w:tcW w:type="dxa" w:w="4649"/>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6"/>
              </w:rPr>
              <w:t>Recuit d’adoucissement</w:t>
            </w:r>
          </w:p>
        </w:tc>
        <w:tc>
          <w:tcPr>
            <w:tcW w:type="dxa" w:w="5556"/>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6"/>
              </w:rPr>
              <w:t>680 - 720 °C</w:t>
            </w:r>
          </w:p>
        </w:tc>
      </w:tr>
      <w:tr>
        <w:tc>
          <w:tcPr>
            <w:tcW w:type="dxa" w:w="4649"/>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F8FAFC"/>
          </w:tcPr>
          <w:p>
            <w:pPr>
              <w:spacing w:after="0"/>
              <w:jc w:val="center"/>
            </w:pPr>
            <w:r>
              <w:rPr>
                <w:rFonts w:ascii="Arial" w:hAnsi="Arial"/>
                <w:color w:val="1E293B"/>
                <w:sz w:val="16"/>
              </w:rPr>
              <w:t>Trempe</w:t>
            </w:r>
          </w:p>
        </w:tc>
        <w:tc>
          <w:tcPr>
            <w:tcW w:type="dxa" w:w="5556"/>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F8FAFC"/>
          </w:tcPr>
          <w:p>
            <w:pPr>
              <w:spacing w:after="0"/>
              <w:jc w:val="center"/>
            </w:pPr>
            <w:r>
              <w:rPr>
                <w:rFonts w:ascii="Arial" w:hAnsi="Arial"/>
                <w:color w:val="1E293B"/>
                <w:sz w:val="16"/>
              </w:rPr>
              <w:t>820 - 860 °C - eau / huile selon section et procédé</w:t>
            </w:r>
          </w:p>
        </w:tc>
      </w:tr>
      <w:tr>
        <w:tc>
          <w:tcPr>
            <w:tcW w:type="dxa" w:w="4649"/>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6"/>
              </w:rPr>
              <w:t>Revenu</w:t>
            </w:r>
          </w:p>
        </w:tc>
        <w:tc>
          <w:tcPr>
            <w:tcW w:type="dxa" w:w="5556"/>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6"/>
              </w:rPr>
              <w:t>540 - 680 °C</w:t>
            </w:r>
          </w:p>
        </w:tc>
      </w:tr>
    </w:tbl>
    <w:p>
      <w:pPr>
        <w:spacing w:after="80" w:line="247" w:lineRule="auto"/>
      </w:pPr>
      <w:r>
        <w:rPr>
          <w:rFonts w:ascii="Arial" w:hAnsi="Arial"/>
          <w:b w:val="0"/>
          <w:i w:val="0"/>
          <w:color w:val="1E293B"/>
          <w:sz w:val="18"/>
        </w:rPr>
        <w:t>Ces valeurs sont indicatives et doivent être adaptées à la géométrie, à la section, à l’état initial de la matière et aux propriétés finales recherchées.</w:t>
      </w:r>
    </w:p>
    <w:tbl>
      <w:tblPr>
        <w:tblW w:type="auto" w:w="0"/>
        <w:jc w:val="center"/>
        <w:tblLook w:firstColumn="1" w:firstRow="1" w:lastColumn="0" w:lastRow="0" w:noHBand="0" w:noVBand="1" w:val="04A0"/>
      </w:tblPr>
      <w:tblGrid>
        <w:gridCol w:w="10376"/>
      </w:tblGrid>
      <w:tr>
        <w:tc>
          <w:tcPr>
            <w:tcW w:type="dxa" w:w="10376"/>
            <w:shd w:fill="102C55"/>
            <w:tcMar>
              <w:top w:w="75" w:type="dxa"/>
              <w:start w:w="110" w:type="dxa"/>
              <w:bottom w:w="75" w:type="dxa"/>
              <w:end w:w="110" w:type="dxa"/>
            </w:tcMar>
          </w:tcPr>
          <w:p>
            <w:pPr>
              <w:spacing w:after="0"/>
            </w:pPr>
            <w:r>
              <w:rPr>
                <w:rFonts w:ascii="Arial" w:hAnsi="Arial"/>
                <w:b/>
                <w:i w:val="0"/>
                <w:color w:val="FFFFFF"/>
                <w:sz w:val="23"/>
              </w:rPr>
              <w:t>3. CARACTÉRISTIQUES PHYSIQUES ET MÉCANIQUES INDICATIVES</w:t>
            </w:r>
          </w:p>
        </w:tc>
      </w:tr>
    </w:tbl>
    <w:p>
      <w:pPr>
        <w:spacing w:after="20" w:before="0"/>
      </w:pPr>
    </w:p>
    <w:tbl>
      <w:tblPr>
        <w:tblW w:type="auto" w:w="0"/>
        <w:jc w:val="center"/>
        <w:tblLayout w:type="fixed"/>
        <w:tblLook w:firstColumn="1" w:firstRow="1" w:lastColumn="0" w:lastRow="0" w:noHBand="0" w:noVBand="1" w:val="04A0"/>
      </w:tblPr>
      <w:tblGrid>
        <w:gridCol w:w="5188"/>
        <w:gridCol w:w="5188"/>
      </w:tblGrid>
      <w:tr>
        <w:trPr>
          <w:tblHeader w:val="true"/>
        </w:trPr>
        <w:tc>
          <w:tcPr>
            <w:tcW w:type="dxa" w:w="4649"/>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102C55"/>
          </w:tcPr>
          <w:p>
            <w:pPr>
              <w:spacing w:after="0"/>
              <w:jc w:val="center"/>
            </w:pPr>
            <w:r>
              <w:rPr>
                <w:rFonts w:ascii="Arial" w:hAnsi="Arial"/>
                <w:b/>
                <w:color w:val="FFFFFF"/>
                <w:sz w:val="16"/>
              </w:rPr>
              <w:t>Propriété</w:t>
            </w:r>
          </w:p>
        </w:tc>
        <w:tc>
          <w:tcPr>
            <w:tcW w:type="dxa" w:w="5556"/>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102C55"/>
          </w:tcPr>
          <w:p>
            <w:pPr>
              <w:spacing w:after="0"/>
              <w:jc w:val="center"/>
            </w:pPr>
            <w:r>
              <w:rPr>
                <w:rFonts w:ascii="Arial" w:hAnsi="Arial"/>
                <w:b/>
                <w:color w:val="FFFFFF"/>
                <w:sz w:val="16"/>
              </w:rPr>
              <w:t>Valeur indicative</w:t>
            </w:r>
          </w:p>
        </w:tc>
      </w:tr>
      <w:tr>
        <w:tc>
          <w:tcPr>
            <w:tcW w:type="dxa" w:w="4649"/>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6"/>
              </w:rPr>
              <w:t>Masse volumique</w:t>
            </w:r>
          </w:p>
        </w:tc>
        <w:tc>
          <w:tcPr>
            <w:tcW w:type="dxa" w:w="5556"/>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6"/>
              </w:rPr>
              <w:t>≈ 7,85 g/cm³</w:t>
            </w:r>
          </w:p>
        </w:tc>
      </w:tr>
      <w:tr>
        <w:tc>
          <w:tcPr>
            <w:tcW w:type="dxa" w:w="4649"/>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F8FAFC"/>
          </w:tcPr>
          <w:p>
            <w:pPr>
              <w:spacing w:after="0"/>
              <w:jc w:val="center"/>
            </w:pPr>
            <w:r>
              <w:rPr>
                <w:rFonts w:ascii="Arial" w:hAnsi="Arial"/>
                <w:color w:val="1E293B"/>
                <w:sz w:val="16"/>
              </w:rPr>
              <w:t>Module d’élasticité</w:t>
            </w:r>
          </w:p>
        </w:tc>
        <w:tc>
          <w:tcPr>
            <w:tcW w:type="dxa" w:w="5556"/>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F8FAFC"/>
          </w:tcPr>
          <w:p>
            <w:pPr>
              <w:spacing w:after="0"/>
              <w:jc w:val="center"/>
            </w:pPr>
            <w:r>
              <w:rPr>
                <w:rFonts w:ascii="Arial" w:hAnsi="Arial"/>
                <w:color w:val="1E293B"/>
                <w:sz w:val="16"/>
              </w:rPr>
              <w:t>≈ 205 - 210 GPa</w:t>
            </w:r>
          </w:p>
        </w:tc>
      </w:tr>
      <w:tr>
        <w:tc>
          <w:tcPr>
            <w:tcW w:type="dxa" w:w="4649"/>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6"/>
              </w:rPr>
              <w:t>Coefficient de Poisson</w:t>
            </w:r>
          </w:p>
        </w:tc>
        <w:tc>
          <w:tcPr>
            <w:tcW w:type="dxa" w:w="5556"/>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6"/>
              </w:rPr>
              <w:t>≈ 0,29</w:t>
            </w:r>
          </w:p>
        </w:tc>
      </w:tr>
    </w:tbl>
    <w:p>
      <w:pPr>
        <w:spacing w:after="80" w:line="247" w:lineRule="auto"/>
      </w:pPr>
      <w:r>
        <w:rPr>
          <w:rFonts w:ascii="Arial" w:hAnsi="Arial"/>
          <w:b w:val="0"/>
          <w:i w:val="0"/>
          <w:color w:val="1E293B"/>
          <w:sz w:val="18"/>
        </w:rPr>
        <w:t>Les caractéristiques mécaniques dépendent fortement de la section et de l’état de traitement thermique. À l’état trempé et revenu (+QT), des résistances à la traction supérieures à 1 000 MPa peuvent être atteintes sur les petites et moyennes sections.</w:t>
      </w:r>
    </w:p>
    <w:tbl>
      <w:tblPr>
        <w:tblW w:type="auto" w:w="0"/>
        <w:jc w:val="center"/>
        <w:tblLayout w:type="fixed"/>
        <w:tblLook w:firstColumn="1" w:firstRow="1" w:lastColumn="0" w:lastRow="0" w:noHBand="0" w:noVBand="1" w:val="04A0"/>
      </w:tblPr>
      <w:tblGrid>
        <w:gridCol w:w="3459"/>
        <w:gridCol w:w="3459"/>
        <w:gridCol w:w="3459"/>
      </w:tblGrid>
      <w:tr>
        <w:trPr>
          <w:tblHeader w:val="true"/>
        </w:trPr>
        <w:tc>
          <w:tcPr>
            <w:tcW w:type="dxa" w:w="2948"/>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102C55"/>
          </w:tcPr>
          <w:p>
            <w:pPr>
              <w:spacing w:after="0"/>
              <w:jc w:val="center"/>
            </w:pPr>
            <w:r>
              <w:rPr>
                <w:rFonts w:ascii="Arial" w:hAnsi="Arial"/>
                <w:b/>
                <w:color w:val="FFFFFF"/>
                <w:sz w:val="16"/>
              </w:rPr>
              <w:t>Section</w:t>
            </w:r>
          </w:p>
        </w:tc>
        <w:tc>
          <w:tcPr>
            <w:tcW w:type="dxa" w:w="3402"/>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102C55"/>
          </w:tcPr>
          <w:p>
            <w:pPr>
              <w:spacing w:after="0"/>
              <w:jc w:val="center"/>
            </w:pPr>
            <w:r>
              <w:rPr>
                <w:rFonts w:ascii="Arial" w:hAnsi="Arial"/>
                <w:b/>
                <w:color w:val="FFFFFF"/>
                <w:sz w:val="16"/>
              </w:rPr>
              <w:t>Re min. indicatif</w:t>
            </w:r>
          </w:p>
        </w:tc>
        <w:tc>
          <w:tcPr>
            <w:tcW w:type="dxa" w:w="3855"/>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102C55"/>
          </w:tcPr>
          <w:p>
            <w:pPr>
              <w:spacing w:after="0"/>
              <w:jc w:val="center"/>
            </w:pPr>
            <w:r>
              <w:rPr>
                <w:rFonts w:ascii="Arial" w:hAnsi="Arial"/>
                <w:b/>
                <w:color w:val="FFFFFF"/>
                <w:sz w:val="16"/>
              </w:rPr>
              <w:t>Rm indicatif</w:t>
            </w:r>
          </w:p>
        </w:tc>
      </w:tr>
      <w:tr>
        <w:tc>
          <w:tcPr>
            <w:tcW w:type="dxa" w:w="2948"/>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6"/>
              </w:rPr>
              <w:t>≤ 16 mm</w:t>
            </w:r>
          </w:p>
        </w:tc>
        <w:tc>
          <w:tcPr>
            <w:tcW w:type="dxa" w:w="3402"/>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6"/>
              </w:rPr>
              <w:t>900 MPa</w:t>
            </w:r>
          </w:p>
        </w:tc>
        <w:tc>
          <w:tcPr>
            <w:tcW w:type="dxa" w:w="3855"/>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6"/>
              </w:rPr>
              <w:t>1100 - 1300 MPa</w:t>
            </w:r>
          </w:p>
        </w:tc>
      </w:tr>
      <w:tr>
        <w:tc>
          <w:tcPr>
            <w:tcW w:type="dxa" w:w="2948"/>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F8FAFC"/>
          </w:tcPr>
          <w:p>
            <w:pPr>
              <w:spacing w:after="0"/>
              <w:jc w:val="center"/>
            </w:pPr>
            <w:r>
              <w:rPr>
                <w:rFonts w:ascii="Arial" w:hAnsi="Arial"/>
                <w:color w:val="1E293B"/>
                <w:sz w:val="16"/>
              </w:rPr>
              <w:t>&gt; 16 à 40 mm</w:t>
            </w:r>
          </w:p>
        </w:tc>
        <w:tc>
          <w:tcPr>
            <w:tcW w:type="dxa" w:w="3402"/>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F8FAFC"/>
          </w:tcPr>
          <w:p>
            <w:pPr>
              <w:spacing w:after="0"/>
              <w:jc w:val="center"/>
            </w:pPr>
            <w:r>
              <w:rPr>
                <w:rFonts w:ascii="Arial" w:hAnsi="Arial"/>
                <w:color w:val="1E293B"/>
                <w:sz w:val="16"/>
              </w:rPr>
              <w:t>750 MPa</w:t>
            </w:r>
          </w:p>
        </w:tc>
        <w:tc>
          <w:tcPr>
            <w:tcW w:type="dxa" w:w="3855"/>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F8FAFC"/>
          </w:tcPr>
          <w:p>
            <w:pPr>
              <w:spacing w:after="0"/>
              <w:jc w:val="center"/>
            </w:pPr>
            <w:r>
              <w:rPr>
                <w:rFonts w:ascii="Arial" w:hAnsi="Arial"/>
                <w:color w:val="1E293B"/>
                <w:sz w:val="16"/>
              </w:rPr>
              <w:t>1000 - 1200 MPa</w:t>
            </w:r>
          </w:p>
        </w:tc>
      </w:tr>
      <w:tr>
        <w:tc>
          <w:tcPr>
            <w:tcW w:type="dxa" w:w="2948"/>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6"/>
              </w:rPr>
              <w:t>&gt; 40 à 100 mm</w:t>
            </w:r>
          </w:p>
        </w:tc>
        <w:tc>
          <w:tcPr>
            <w:tcW w:type="dxa" w:w="3402"/>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6"/>
              </w:rPr>
              <w:t>650 MPa</w:t>
            </w:r>
          </w:p>
        </w:tc>
        <w:tc>
          <w:tcPr>
            <w:tcW w:type="dxa" w:w="3855"/>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6"/>
              </w:rPr>
              <w:t>900 - 1100 MPa</w:t>
            </w:r>
          </w:p>
        </w:tc>
      </w:tr>
      <w:tr>
        <w:tc>
          <w:tcPr>
            <w:tcW w:type="dxa" w:w="2948"/>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F8FAFC"/>
          </w:tcPr>
          <w:p>
            <w:pPr>
              <w:spacing w:after="0"/>
              <w:jc w:val="center"/>
            </w:pPr>
            <w:r>
              <w:rPr>
                <w:rFonts w:ascii="Arial" w:hAnsi="Arial"/>
                <w:color w:val="1E293B"/>
                <w:sz w:val="16"/>
              </w:rPr>
              <w:t>&gt; 100 à 160 mm</w:t>
            </w:r>
          </w:p>
        </w:tc>
        <w:tc>
          <w:tcPr>
            <w:tcW w:type="dxa" w:w="3402"/>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F8FAFC"/>
          </w:tcPr>
          <w:p>
            <w:pPr>
              <w:spacing w:after="0"/>
              <w:jc w:val="center"/>
            </w:pPr>
            <w:r>
              <w:rPr>
                <w:rFonts w:ascii="Arial" w:hAnsi="Arial"/>
                <w:color w:val="1E293B"/>
                <w:sz w:val="16"/>
              </w:rPr>
              <w:t>550 MPa</w:t>
            </w:r>
          </w:p>
        </w:tc>
        <w:tc>
          <w:tcPr>
            <w:tcW w:type="dxa" w:w="3855"/>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F8FAFC"/>
          </w:tcPr>
          <w:p>
            <w:pPr>
              <w:spacing w:after="0"/>
              <w:jc w:val="center"/>
            </w:pPr>
            <w:r>
              <w:rPr>
                <w:rFonts w:ascii="Arial" w:hAnsi="Arial"/>
                <w:color w:val="1E293B"/>
                <w:sz w:val="16"/>
              </w:rPr>
              <w:t>800 - 950 MPa</w:t>
            </w:r>
          </w:p>
        </w:tc>
      </w:tr>
      <w:tr>
        <w:tc>
          <w:tcPr>
            <w:tcW w:type="dxa" w:w="2948"/>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6"/>
              </w:rPr>
              <w:t>&gt; 160 à 250 mm</w:t>
            </w:r>
          </w:p>
        </w:tc>
        <w:tc>
          <w:tcPr>
            <w:tcW w:type="dxa" w:w="3402"/>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6"/>
              </w:rPr>
              <w:t>500 MPa</w:t>
            </w:r>
          </w:p>
        </w:tc>
        <w:tc>
          <w:tcPr>
            <w:tcW w:type="dxa" w:w="3855"/>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6"/>
              </w:rPr>
              <w:t>750 - 900 MPa</w:t>
            </w:r>
          </w:p>
        </w:tc>
      </w:tr>
    </w:tbl>
    <w:p>
      <w:pPr>
        <w:spacing w:after="80" w:line="247" w:lineRule="auto"/>
      </w:pPr>
      <w:r>
        <w:rPr>
          <w:rFonts w:ascii="Arial" w:hAnsi="Arial"/>
          <w:b w:val="0"/>
          <w:i w:val="0"/>
          <w:color w:val="1E293B"/>
          <w:sz w:val="18"/>
        </w:rPr>
        <w:t>Les valeurs exactes doivent être confirmées selon la norme applicable, la section du produit, l’état de livraison et le certificat matière.</w:t>
      </w:r>
    </w:p>
    <w:tbl>
      <w:tblPr>
        <w:tblW w:type="auto" w:w="0"/>
        <w:jc w:val="center"/>
        <w:tblLook w:firstColumn="1" w:firstRow="1" w:lastColumn="0" w:lastRow="0" w:noHBand="0" w:noVBand="1" w:val="04A0"/>
      </w:tblPr>
      <w:tblGrid>
        <w:gridCol w:w="10376"/>
      </w:tblGrid>
      <w:tr>
        <w:tc>
          <w:tcPr>
            <w:tcW w:type="dxa" w:w="10376"/>
            <w:shd w:fill="102C55"/>
            <w:tcMar>
              <w:top w:w="75" w:type="dxa"/>
              <w:start w:w="110" w:type="dxa"/>
              <w:bottom w:w="75" w:type="dxa"/>
              <w:end w:w="110" w:type="dxa"/>
            </w:tcMar>
          </w:tcPr>
          <w:p>
            <w:pPr>
              <w:spacing w:after="0"/>
            </w:pPr>
            <w:r>
              <w:rPr>
                <w:rFonts w:ascii="Arial" w:hAnsi="Arial"/>
                <w:b/>
                <w:i w:val="0"/>
                <w:color w:val="FFFFFF"/>
                <w:sz w:val="23"/>
              </w:rPr>
              <w:t>4. DOMAINES D’UTILISATION</w:t>
            </w:r>
          </w:p>
        </w:tc>
      </w:tr>
    </w:tbl>
    <w:p>
      <w:pPr>
        <w:spacing w:after="20" w:before="0"/>
      </w:pPr>
    </w:p>
    <w:p>
      <w:pPr>
        <w:spacing w:after="80" w:line="247" w:lineRule="auto"/>
      </w:pPr>
      <w:r>
        <w:rPr>
          <w:rFonts w:ascii="Arial" w:hAnsi="Arial"/>
          <w:b w:val="0"/>
          <w:i w:val="0"/>
          <w:color w:val="1E293B"/>
          <w:sz w:val="18"/>
        </w:rPr>
        <w:t>Grâce à sa trempabilité élevée, sa résistance mécanique et sa ténacité après trempe et revenu, le 42CrMo4 occupe une place importante dans la mécanique générale, l’automobile, les transmissions de puissance, les équipements industriels et les pièces fortement sollicitées.</w:t>
      </w:r>
    </w:p>
    <w:p>
      <w:pPr>
        <w:spacing w:after="20"/>
        <w:ind w:left="170" w:hanging="102"/>
      </w:pPr>
      <w:r>
        <w:rPr>
          <w:rFonts w:ascii="Arial" w:hAnsi="Arial"/>
          <w:b/>
          <w:i w:val="0"/>
          <w:color w:val="D71920"/>
          <w:sz w:val="18"/>
        </w:rPr>
        <w:t xml:space="preserve">• </w:t>
      </w:r>
      <w:r>
        <w:rPr>
          <w:rFonts w:ascii="Arial" w:hAnsi="Arial"/>
          <w:b w:val="0"/>
          <w:i w:val="0"/>
          <w:color w:val="1E293B"/>
          <w:sz w:val="17"/>
        </w:rPr>
        <w:t>arbres de transmission et arbres de boîte de vitesses</w:t>
      </w:r>
    </w:p>
    <w:p>
      <w:pPr>
        <w:spacing w:after="20"/>
        <w:ind w:left="170" w:hanging="102"/>
      </w:pPr>
      <w:r>
        <w:rPr>
          <w:rFonts w:ascii="Arial" w:hAnsi="Arial"/>
          <w:b/>
          <w:i w:val="0"/>
          <w:color w:val="D71920"/>
          <w:sz w:val="18"/>
        </w:rPr>
        <w:t xml:space="preserve">• </w:t>
      </w:r>
      <w:r>
        <w:rPr>
          <w:rFonts w:ascii="Arial" w:hAnsi="Arial"/>
          <w:b w:val="0"/>
          <w:i w:val="0"/>
          <w:color w:val="1E293B"/>
          <w:sz w:val="17"/>
        </w:rPr>
        <w:t>axes, essieux et pivots fortement sollicités</w:t>
      </w:r>
    </w:p>
    <w:p>
      <w:pPr>
        <w:spacing w:after="20"/>
        <w:ind w:left="170" w:hanging="102"/>
      </w:pPr>
      <w:r>
        <w:rPr>
          <w:rFonts w:ascii="Arial" w:hAnsi="Arial"/>
          <w:b/>
          <w:i w:val="0"/>
          <w:color w:val="D71920"/>
          <w:sz w:val="18"/>
        </w:rPr>
        <w:t xml:space="preserve">• </w:t>
      </w:r>
      <w:r>
        <w:rPr>
          <w:rFonts w:ascii="Arial" w:hAnsi="Arial"/>
          <w:b w:val="0"/>
          <w:i w:val="0"/>
          <w:color w:val="1E293B"/>
          <w:sz w:val="17"/>
        </w:rPr>
        <w:t>vilebrequins, pignons, engrenages, couronnes et moyeux</w:t>
      </w:r>
    </w:p>
    <w:p>
      <w:pPr>
        <w:spacing w:after="20"/>
        <w:ind w:left="170" w:hanging="102"/>
      </w:pPr>
      <w:r>
        <w:rPr>
          <w:rFonts w:ascii="Arial" w:hAnsi="Arial"/>
          <w:b/>
          <w:i w:val="0"/>
          <w:color w:val="D71920"/>
          <w:sz w:val="18"/>
        </w:rPr>
        <w:t xml:space="preserve">• </w:t>
      </w:r>
      <w:r>
        <w:rPr>
          <w:rFonts w:ascii="Arial" w:hAnsi="Arial"/>
          <w:b w:val="0"/>
          <w:i w:val="0"/>
          <w:color w:val="1E293B"/>
          <w:sz w:val="17"/>
        </w:rPr>
        <w:t>broches, tiges, accouplements et pièces de transmission</w:t>
      </w:r>
    </w:p>
    <w:p>
      <w:pPr>
        <w:spacing w:after="20"/>
        <w:ind w:left="170" w:hanging="102"/>
      </w:pPr>
      <w:r>
        <w:rPr>
          <w:rFonts w:ascii="Arial" w:hAnsi="Arial"/>
          <w:b/>
          <w:i w:val="0"/>
          <w:color w:val="D71920"/>
          <w:sz w:val="18"/>
        </w:rPr>
        <w:t xml:space="preserve">• </w:t>
      </w:r>
      <w:r>
        <w:rPr>
          <w:rFonts w:ascii="Arial" w:hAnsi="Arial"/>
          <w:b w:val="0"/>
          <w:i w:val="0"/>
          <w:color w:val="1E293B"/>
          <w:sz w:val="17"/>
        </w:rPr>
        <w:t>boulons et goujons haute résistance</w:t>
      </w:r>
    </w:p>
    <w:p>
      <w:pPr>
        <w:spacing w:after="20"/>
        <w:ind w:left="170" w:hanging="102"/>
      </w:pPr>
      <w:r>
        <w:rPr>
          <w:rFonts w:ascii="Arial" w:hAnsi="Arial"/>
          <w:b/>
          <w:i w:val="0"/>
          <w:color w:val="D71920"/>
          <w:sz w:val="18"/>
        </w:rPr>
        <w:t xml:space="preserve">• </w:t>
      </w:r>
      <w:r>
        <w:rPr>
          <w:rFonts w:ascii="Arial" w:hAnsi="Arial"/>
          <w:b w:val="0"/>
          <w:i w:val="0"/>
          <w:color w:val="1E293B"/>
          <w:sz w:val="17"/>
        </w:rPr>
        <w:t>composants hydrauliques et pièces de machines-outils</w:t>
      </w:r>
    </w:p>
    <w:p>
      <w:pPr>
        <w:spacing w:after="20"/>
        <w:ind w:left="170" w:hanging="102"/>
      </w:pPr>
      <w:r>
        <w:rPr>
          <w:rFonts w:ascii="Arial" w:hAnsi="Arial"/>
          <w:b/>
          <w:i w:val="0"/>
          <w:color w:val="D71920"/>
          <w:sz w:val="18"/>
        </w:rPr>
        <w:t xml:space="preserve">• </w:t>
      </w:r>
      <w:r>
        <w:rPr>
          <w:rFonts w:ascii="Arial" w:hAnsi="Arial"/>
          <w:b w:val="0"/>
          <w:i w:val="0"/>
          <w:color w:val="1E293B"/>
          <w:sz w:val="17"/>
        </w:rPr>
        <w:t>éléments de presses et pièces forgées</w:t>
      </w:r>
    </w:p>
    <w:p>
      <w:pPr>
        <w:spacing w:after="20"/>
        <w:ind w:left="170" w:hanging="102"/>
      </w:pPr>
      <w:r>
        <w:rPr>
          <w:rFonts w:ascii="Arial" w:hAnsi="Arial"/>
          <w:b/>
          <w:i w:val="0"/>
          <w:color w:val="D71920"/>
          <w:sz w:val="18"/>
        </w:rPr>
        <w:t xml:space="preserve">• </w:t>
      </w:r>
      <w:r>
        <w:rPr>
          <w:rFonts w:ascii="Arial" w:hAnsi="Arial"/>
          <w:b w:val="0"/>
          <w:i w:val="0"/>
          <w:color w:val="1E293B"/>
          <w:sz w:val="17"/>
        </w:rPr>
        <w:t>composants de turbines et équipements industriels</w:t>
      </w:r>
    </w:p>
    <w:p>
      <w:pPr>
        <w:spacing w:after="20"/>
        <w:ind w:left="170" w:hanging="102"/>
      </w:pPr>
      <w:r>
        <w:rPr>
          <w:rFonts w:ascii="Arial" w:hAnsi="Arial"/>
          <w:b/>
          <w:i w:val="0"/>
          <w:color w:val="D71920"/>
          <w:sz w:val="18"/>
        </w:rPr>
        <w:t xml:space="preserve">• </w:t>
      </w:r>
      <w:r>
        <w:rPr>
          <w:rFonts w:ascii="Arial" w:hAnsi="Arial"/>
          <w:b w:val="0"/>
          <w:i w:val="0"/>
          <w:color w:val="1E293B"/>
          <w:sz w:val="17"/>
        </w:rPr>
        <w:t>pièces ferroviaires et organes soumis à la fatigue</w:t>
      </w:r>
    </w:p>
    <w:p>
      <w:pPr>
        <w:spacing w:after="20"/>
        <w:ind w:left="170" w:hanging="102"/>
      </w:pPr>
      <w:r>
        <w:rPr>
          <w:rFonts w:ascii="Arial" w:hAnsi="Arial"/>
          <w:b/>
          <w:i w:val="0"/>
          <w:color w:val="D71920"/>
          <w:sz w:val="18"/>
        </w:rPr>
        <w:t xml:space="preserve">• </w:t>
      </w:r>
      <w:r>
        <w:rPr>
          <w:rFonts w:ascii="Arial" w:hAnsi="Arial"/>
          <w:b w:val="0"/>
          <w:i w:val="0"/>
          <w:color w:val="1E293B"/>
          <w:sz w:val="17"/>
        </w:rPr>
        <w:t>pièces nécessitant une bonne résistance aux charges alternées</w:t>
      </w:r>
    </w:p>
    <w:p>
      <w:pPr>
        <w:spacing w:after="80" w:line="247" w:lineRule="auto"/>
      </w:pPr>
      <w:r>
        <w:rPr>
          <w:rFonts w:ascii="Arial" w:hAnsi="Arial"/>
          <w:b w:val="0"/>
          <w:i w:val="0"/>
          <w:color w:val="1E293B"/>
          <w:sz w:val="18"/>
        </w:rPr>
        <w:t>Le matériau peut également être soumis à des traitements superficiels, notamment la trempe par induction, lorsque l’on recherche une surface fortement durcie tout en conservant un cœur tenace. La nitruration peut également être envisagée selon l’application et l’état métallurgique.</w:t>
      </w:r>
    </w:p>
    <w:tbl>
      <w:tblPr>
        <w:tblW w:type="auto" w:w="0"/>
        <w:jc w:val="center"/>
        <w:tblLook w:firstColumn="1" w:firstRow="1" w:lastColumn="0" w:lastRow="0" w:noHBand="0" w:noVBand="1" w:val="04A0"/>
      </w:tblPr>
      <w:tblGrid>
        <w:gridCol w:w="10376"/>
      </w:tblGrid>
      <w:tr>
        <w:tc>
          <w:tcPr>
            <w:tcW w:type="dxa" w:w="10376"/>
            <w:shd w:fill="102C55"/>
            <w:tcMar>
              <w:top w:w="75" w:type="dxa"/>
              <w:start w:w="110" w:type="dxa"/>
              <w:bottom w:w="75" w:type="dxa"/>
              <w:end w:w="110" w:type="dxa"/>
            </w:tcMar>
          </w:tcPr>
          <w:p>
            <w:pPr>
              <w:spacing w:after="0"/>
            </w:pPr>
            <w:r>
              <w:rPr>
                <w:rFonts w:ascii="Arial" w:hAnsi="Arial"/>
                <w:b/>
                <w:i w:val="0"/>
                <w:color w:val="FFFFFF"/>
                <w:sz w:val="23"/>
              </w:rPr>
              <w:t>5. DIFFÉRENCE ENTRE 42CRMO4 ET 42CRMOS4</w:t>
            </w:r>
          </w:p>
        </w:tc>
      </w:tr>
    </w:tbl>
    <w:p>
      <w:pPr>
        <w:spacing w:after="20" w:before="0"/>
      </w:pPr>
    </w:p>
    <w:p>
      <w:pPr>
        <w:spacing w:after="80" w:line="247" w:lineRule="auto"/>
      </w:pPr>
      <w:r>
        <w:rPr>
          <w:rFonts w:ascii="Arial" w:hAnsi="Arial"/>
          <w:b w:val="0"/>
          <w:i w:val="0"/>
          <w:color w:val="1E293B"/>
          <w:sz w:val="18"/>
        </w:rPr>
        <w:t>Les deux nuances appartiennent à la même famille des aciers au chrome-molybdène pour trempe et revenu. La différence principale réside dans la teneur contrôlée en soufre du 42CrMoS4, destinée à favoriser l’usinabilité et la fragmentation du copeau.</w:t>
      </w:r>
    </w:p>
    <w:tbl>
      <w:tblPr>
        <w:tblW w:type="auto" w:w="0"/>
        <w:jc w:val="center"/>
        <w:tblLayout w:type="fixed"/>
        <w:tblLook w:firstColumn="1" w:firstRow="1" w:lastColumn="0" w:lastRow="0" w:noHBand="0" w:noVBand="1" w:val="04A0"/>
      </w:tblPr>
      <w:tblGrid>
        <w:gridCol w:w="3459"/>
        <w:gridCol w:w="3459"/>
        <w:gridCol w:w="3459"/>
      </w:tblGrid>
      <w:tr>
        <w:trPr>
          <w:tblHeader w:val="true"/>
        </w:trPr>
        <w:tc>
          <w:tcPr>
            <w:tcW w:type="dxa" w:w="2041"/>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102C55"/>
          </w:tcPr>
          <w:p>
            <w:pPr>
              <w:spacing w:after="0"/>
              <w:jc w:val="center"/>
            </w:pPr>
            <w:r>
              <w:rPr>
                <w:rFonts w:ascii="Arial" w:hAnsi="Arial"/>
                <w:b/>
                <w:color w:val="FFFFFF"/>
                <w:sz w:val="15"/>
              </w:rPr>
              <w:t>Élément</w:t>
            </w:r>
          </w:p>
        </w:tc>
        <w:tc>
          <w:tcPr>
            <w:tcW w:type="dxa" w:w="4082"/>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102C55"/>
          </w:tcPr>
          <w:p>
            <w:pPr>
              <w:spacing w:after="0"/>
              <w:jc w:val="center"/>
            </w:pPr>
            <w:r>
              <w:rPr>
                <w:rFonts w:ascii="Arial" w:hAnsi="Arial"/>
                <w:b/>
                <w:color w:val="FFFFFF"/>
                <w:sz w:val="15"/>
              </w:rPr>
              <w:t>42CrMo4 - 1.7225</w:t>
            </w:r>
          </w:p>
        </w:tc>
        <w:tc>
          <w:tcPr>
            <w:tcW w:type="dxa" w:w="4082"/>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102C55"/>
          </w:tcPr>
          <w:p>
            <w:pPr>
              <w:spacing w:after="0"/>
              <w:jc w:val="center"/>
            </w:pPr>
            <w:r>
              <w:rPr>
                <w:rFonts w:ascii="Arial" w:hAnsi="Arial"/>
                <w:b/>
                <w:color w:val="FFFFFF"/>
                <w:sz w:val="15"/>
              </w:rPr>
              <w:t>42CrMoS4 - 1.7227</w:t>
            </w:r>
          </w:p>
        </w:tc>
      </w:tr>
      <w:tr>
        <w:tc>
          <w:tcPr>
            <w:tcW w:type="dxa" w:w="2041"/>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5"/>
              </w:rPr>
              <w:t>C</w:t>
            </w:r>
          </w:p>
        </w:tc>
        <w:tc>
          <w:tcPr>
            <w:tcW w:type="dxa" w:w="4082"/>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5"/>
              </w:rPr>
              <w:t>0,38 - 0,45 %</w:t>
            </w:r>
          </w:p>
        </w:tc>
        <w:tc>
          <w:tcPr>
            <w:tcW w:type="dxa" w:w="4082"/>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5"/>
              </w:rPr>
              <w:t>0,38 - 0,45 %</w:t>
            </w:r>
          </w:p>
        </w:tc>
      </w:tr>
      <w:tr>
        <w:tc>
          <w:tcPr>
            <w:tcW w:type="dxa" w:w="2041"/>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F8FAFC"/>
          </w:tcPr>
          <w:p>
            <w:pPr>
              <w:spacing w:after="0"/>
              <w:jc w:val="center"/>
            </w:pPr>
            <w:r>
              <w:rPr>
                <w:rFonts w:ascii="Arial" w:hAnsi="Arial"/>
                <w:color w:val="1E293B"/>
                <w:sz w:val="15"/>
              </w:rPr>
              <w:t>Si</w:t>
            </w:r>
          </w:p>
        </w:tc>
        <w:tc>
          <w:tcPr>
            <w:tcW w:type="dxa" w:w="4082"/>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F8FAFC"/>
          </w:tcPr>
          <w:p>
            <w:pPr>
              <w:spacing w:after="0"/>
              <w:jc w:val="center"/>
            </w:pPr>
            <w:r>
              <w:rPr>
                <w:rFonts w:ascii="Arial" w:hAnsi="Arial"/>
                <w:color w:val="1E293B"/>
                <w:sz w:val="15"/>
              </w:rPr>
              <w:t>≤ 0,40 %</w:t>
            </w:r>
          </w:p>
        </w:tc>
        <w:tc>
          <w:tcPr>
            <w:tcW w:type="dxa" w:w="4082"/>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F8FAFC"/>
          </w:tcPr>
          <w:p>
            <w:pPr>
              <w:spacing w:after="0"/>
              <w:jc w:val="center"/>
            </w:pPr>
            <w:r>
              <w:rPr>
                <w:rFonts w:ascii="Arial" w:hAnsi="Arial"/>
                <w:color w:val="1E293B"/>
                <w:sz w:val="15"/>
              </w:rPr>
              <w:t>≤ 0,40 %</w:t>
            </w:r>
          </w:p>
        </w:tc>
      </w:tr>
      <w:tr>
        <w:tc>
          <w:tcPr>
            <w:tcW w:type="dxa" w:w="2041"/>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5"/>
              </w:rPr>
              <w:t>Mn</w:t>
            </w:r>
          </w:p>
        </w:tc>
        <w:tc>
          <w:tcPr>
            <w:tcW w:type="dxa" w:w="4082"/>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5"/>
              </w:rPr>
              <w:t>0,60 - 0,90 %</w:t>
            </w:r>
          </w:p>
        </w:tc>
        <w:tc>
          <w:tcPr>
            <w:tcW w:type="dxa" w:w="4082"/>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5"/>
              </w:rPr>
              <w:t>0,60 - 0,90 %</w:t>
            </w:r>
          </w:p>
        </w:tc>
      </w:tr>
      <w:tr>
        <w:tc>
          <w:tcPr>
            <w:tcW w:type="dxa" w:w="2041"/>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F8FAFC"/>
          </w:tcPr>
          <w:p>
            <w:pPr>
              <w:spacing w:after="0"/>
              <w:jc w:val="center"/>
            </w:pPr>
            <w:r>
              <w:rPr>
                <w:rFonts w:ascii="Arial" w:hAnsi="Arial"/>
                <w:color w:val="1E293B"/>
                <w:sz w:val="15"/>
              </w:rPr>
              <w:t>P</w:t>
            </w:r>
          </w:p>
        </w:tc>
        <w:tc>
          <w:tcPr>
            <w:tcW w:type="dxa" w:w="4082"/>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F8FAFC"/>
          </w:tcPr>
          <w:p>
            <w:pPr>
              <w:spacing w:after="0"/>
              <w:jc w:val="center"/>
            </w:pPr>
            <w:r>
              <w:rPr>
                <w:rFonts w:ascii="Arial" w:hAnsi="Arial"/>
                <w:color w:val="1E293B"/>
                <w:sz w:val="15"/>
              </w:rPr>
              <w:t>≤ 0,025 %</w:t>
            </w:r>
          </w:p>
        </w:tc>
        <w:tc>
          <w:tcPr>
            <w:tcW w:type="dxa" w:w="4082"/>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F8FAFC"/>
          </w:tcPr>
          <w:p>
            <w:pPr>
              <w:spacing w:after="0"/>
              <w:jc w:val="center"/>
            </w:pPr>
            <w:r>
              <w:rPr>
                <w:rFonts w:ascii="Arial" w:hAnsi="Arial"/>
                <w:color w:val="1E293B"/>
                <w:sz w:val="15"/>
              </w:rPr>
              <w:t>≤ 0,025 %</w:t>
            </w:r>
          </w:p>
        </w:tc>
      </w:tr>
      <w:tr>
        <w:tc>
          <w:tcPr>
            <w:tcW w:type="dxa" w:w="2041"/>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5"/>
              </w:rPr>
              <w:t>S</w:t>
            </w:r>
          </w:p>
        </w:tc>
        <w:tc>
          <w:tcPr>
            <w:tcW w:type="dxa" w:w="4082"/>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5"/>
              </w:rPr>
              <w:t>≤ 0,035 %</w:t>
            </w:r>
          </w:p>
        </w:tc>
        <w:tc>
          <w:tcPr>
            <w:tcW w:type="dxa" w:w="4082"/>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5"/>
              </w:rPr>
              <w:t>0,020 - 0,040 %</w:t>
            </w:r>
          </w:p>
        </w:tc>
      </w:tr>
      <w:tr>
        <w:tc>
          <w:tcPr>
            <w:tcW w:type="dxa" w:w="2041"/>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F8FAFC"/>
          </w:tcPr>
          <w:p>
            <w:pPr>
              <w:spacing w:after="0"/>
              <w:jc w:val="center"/>
            </w:pPr>
            <w:r>
              <w:rPr>
                <w:rFonts w:ascii="Arial" w:hAnsi="Arial"/>
                <w:color w:val="1E293B"/>
                <w:sz w:val="15"/>
              </w:rPr>
              <w:t>Cr</w:t>
            </w:r>
          </w:p>
        </w:tc>
        <w:tc>
          <w:tcPr>
            <w:tcW w:type="dxa" w:w="4082"/>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F8FAFC"/>
          </w:tcPr>
          <w:p>
            <w:pPr>
              <w:spacing w:after="0"/>
              <w:jc w:val="center"/>
            </w:pPr>
            <w:r>
              <w:rPr>
                <w:rFonts w:ascii="Arial" w:hAnsi="Arial"/>
                <w:color w:val="1E293B"/>
                <w:sz w:val="15"/>
              </w:rPr>
              <w:t>0,90 - 1,20 %</w:t>
            </w:r>
          </w:p>
        </w:tc>
        <w:tc>
          <w:tcPr>
            <w:tcW w:type="dxa" w:w="4082"/>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shd w:fill="F8FAFC"/>
          </w:tcPr>
          <w:p>
            <w:pPr>
              <w:spacing w:after="0"/>
              <w:jc w:val="center"/>
            </w:pPr>
            <w:r>
              <w:rPr>
                <w:rFonts w:ascii="Arial" w:hAnsi="Arial"/>
                <w:color w:val="1E293B"/>
                <w:sz w:val="15"/>
              </w:rPr>
              <w:t>0,90 - 1,20 %</w:t>
            </w:r>
          </w:p>
        </w:tc>
      </w:tr>
      <w:tr>
        <w:tc>
          <w:tcPr>
            <w:tcW w:type="dxa" w:w="2041"/>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5"/>
              </w:rPr>
              <w:t>Mo</w:t>
            </w:r>
          </w:p>
        </w:tc>
        <w:tc>
          <w:tcPr>
            <w:tcW w:type="dxa" w:w="4082"/>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5"/>
              </w:rPr>
              <w:t>0,15 - 0,30 %</w:t>
            </w:r>
          </w:p>
        </w:tc>
        <w:tc>
          <w:tcPr>
            <w:tcW w:type="dxa" w:w="4082"/>
            <w:vAlign w:val="center"/>
            <w:tcMar>
              <w:top w:w="45" w:type="dxa"/>
              <w:start w:w="55" w:type="dxa"/>
              <w:bottom w:w="45" w:type="dxa"/>
              <w:end w:w="55" w:type="dxa"/>
            </w:tcMar>
            <w:tcBorders>
              <w:top w:val="single" w:sz="5" w:color="AAB6C5"/>
              <w:bottom w:val="single" w:sz="5" w:color="AAB6C5"/>
              <w:left w:val="single" w:sz="5" w:color="AAB6C5"/>
              <w:right w:val="single" w:sz="5" w:color="AAB6C5"/>
            </w:tcBorders>
          </w:tcPr>
          <w:p>
            <w:pPr>
              <w:spacing w:after="0"/>
              <w:jc w:val="center"/>
            </w:pPr>
            <w:r>
              <w:rPr>
                <w:rFonts w:ascii="Arial" w:hAnsi="Arial"/>
                <w:color w:val="1E293B"/>
                <w:sz w:val="15"/>
              </w:rPr>
              <w:t>0,15 - 0,30 %</w:t>
            </w:r>
          </w:p>
        </w:tc>
      </w:tr>
    </w:tbl>
    <w:p>
      <w:pPr>
        <w:spacing w:after="80" w:line="247" w:lineRule="auto"/>
      </w:pPr>
      <w:r>
        <w:rPr>
          <w:rFonts w:ascii="Arial" w:hAnsi="Arial"/>
          <w:b w:val="0"/>
          <w:i w:val="0"/>
          <w:color w:val="1E293B"/>
          <w:sz w:val="18"/>
        </w:rPr>
        <w:t>La teneur contrôlée en soufre du 42CrMoS4 peut améliorer la fragmentation du copeau et faciliter l’usinage. Pour des productions en série sur tours automatiques ou centres CNC, cette nuance peut présenter un avantage d’usinabilité, tout en conservant des caractéristiques mécaniques comparables après traitement approprié.</w:t>
      </w:r>
    </w:p>
    <w:tbl>
      <w:tblPr>
        <w:tblW w:type="auto" w:w="0"/>
        <w:jc w:val="center"/>
        <w:tblLook w:firstColumn="1" w:firstRow="1" w:lastColumn="0" w:lastRow="0" w:noHBand="0" w:noVBand="1" w:val="04A0"/>
      </w:tblPr>
      <w:tblGrid>
        <w:gridCol w:w="10376"/>
      </w:tblGrid>
      <w:tr>
        <w:tc>
          <w:tcPr>
            <w:tcW w:type="dxa" w:w="10376"/>
            <w:shd w:fill="102C55"/>
            <w:tcMar>
              <w:top w:w="75" w:type="dxa"/>
              <w:start w:w="110" w:type="dxa"/>
              <w:bottom w:w="75" w:type="dxa"/>
              <w:end w:w="110" w:type="dxa"/>
            </w:tcMar>
          </w:tcPr>
          <w:p>
            <w:pPr>
              <w:spacing w:after="0"/>
            </w:pPr>
            <w:r>
              <w:rPr>
                <w:rFonts w:ascii="Arial" w:hAnsi="Arial"/>
                <w:b/>
                <w:i w:val="0"/>
                <w:color w:val="FFFFFF"/>
                <w:sz w:val="23"/>
              </w:rPr>
              <w:t>6. ACIERS POUR TREMPE ET REVENU</w:t>
            </w:r>
          </w:p>
        </w:tc>
      </w:tr>
    </w:tbl>
    <w:p>
      <w:pPr>
        <w:spacing w:after="20" w:before="0"/>
      </w:pPr>
    </w:p>
    <w:p>
      <w:pPr>
        <w:spacing w:after="80" w:line="247" w:lineRule="auto"/>
      </w:pPr>
      <w:r>
        <w:rPr>
          <w:rFonts w:ascii="Arial" w:hAnsi="Arial"/>
          <w:b w:val="0"/>
          <w:i w:val="0"/>
          <w:color w:val="1E293B"/>
          <w:sz w:val="18"/>
        </w:rPr>
        <w:t>Les aciers pour trempe et revenu sont sélectionnés lorsque l’on recherche simultanément une résistance mécanique élevée, de la ténacité, de la ductilité, une bonne résistance à la fatigue et une profondeur de durcissement maîtrisée.</w:t>
      </w:r>
    </w:p>
    <w:p>
      <w:pPr>
        <w:spacing w:after="80" w:line="247" w:lineRule="auto"/>
      </w:pPr>
      <w:r>
        <w:rPr>
          <w:rFonts w:ascii="Arial" w:hAnsi="Arial"/>
          <w:b w:val="0"/>
          <w:i w:val="0"/>
          <w:color w:val="1E293B"/>
          <w:sz w:val="18"/>
        </w:rPr>
        <w:t>La teneur en carbone joue un rôle majeur dans la dureté atteignable après trempe. Pour les pièces de forte section, les éléments d’alliage tels que le manganèse, le chrome, le nickel et le molybdène permettent d’augmenter la trempabilité, c’est-à-dire la capacité du matériau à obtenir une structure durcie en profondeur.</w:t>
      </w:r>
    </w:p>
    <w:p>
      <w:pPr>
        <w:spacing w:after="20"/>
        <w:ind w:left="170" w:hanging="102"/>
      </w:pPr>
      <w:r>
        <w:rPr>
          <w:rFonts w:ascii="Arial" w:hAnsi="Arial"/>
          <w:b/>
          <w:i w:val="0"/>
          <w:color w:val="D71920"/>
          <w:sz w:val="18"/>
        </w:rPr>
        <w:t xml:space="preserve">• </w:t>
      </w:r>
      <w:r>
        <w:rPr>
          <w:rFonts w:ascii="Arial" w:hAnsi="Arial"/>
          <w:b w:val="0"/>
          <w:i w:val="0"/>
          <w:color w:val="1E293B"/>
          <w:sz w:val="17"/>
        </w:rPr>
        <w:t>section et géométrie de la pièce</w:t>
      </w:r>
    </w:p>
    <w:p>
      <w:pPr>
        <w:spacing w:after="20"/>
        <w:ind w:left="170" w:hanging="102"/>
      </w:pPr>
      <w:r>
        <w:rPr>
          <w:rFonts w:ascii="Arial" w:hAnsi="Arial"/>
          <w:b/>
          <w:i w:val="0"/>
          <w:color w:val="D71920"/>
          <w:sz w:val="18"/>
        </w:rPr>
        <w:t xml:space="preserve">• </w:t>
      </w:r>
      <w:r>
        <w:rPr>
          <w:rFonts w:ascii="Arial" w:hAnsi="Arial"/>
          <w:b w:val="0"/>
          <w:i w:val="0"/>
          <w:color w:val="1E293B"/>
          <w:sz w:val="17"/>
        </w:rPr>
        <w:t>caractéristiques mécaniques demandées</w:t>
      </w:r>
    </w:p>
    <w:p>
      <w:pPr>
        <w:spacing w:after="20"/>
        <w:ind w:left="170" w:hanging="102"/>
      </w:pPr>
      <w:r>
        <w:rPr>
          <w:rFonts w:ascii="Arial" w:hAnsi="Arial"/>
          <w:b/>
          <w:i w:val="0"/>
          <w:color w:val="D71920"/>
          <w:sz w:val="18"/>
        </w:rPr>
        <w:t xml:space="preserve">• </w:t>
      </w:r>
      <w:r>
        <w:rPr>
          <w:rFonts w:ascii="Arial" w:hAnsi="Arial"/>
          <w:b w:val="0"/>
          <w:i w:val="0"/>
          <w:color w:val="1E293B"/>
          <w:sz w:val="17"/>
        </w:rPr>
        <w:t>profondeur de durcissement recherchée</w:t>
      </w:r>
    </w:p>
    <w:p>
      <w:pPr>
        <w:spacing w:after="20"/>
        <w:ind w:left="170" w:hanging="102"/>
      </w:pPr>
      <w:r>
        <w:rPr>
          <w:rFonts w:ascii="Arial" w:hAnsi="Arial"/>
          <w:b/>
          <w:i w:val="0"/>
          <w:color w:val="D71920"/>
          <w:sz w:val="18"/>
        </w:rPr>
        <w:t xml:space="preserve">• </w:t>
      </w:r>
      <w:r>
        <w:rPr>
          <w:rFonts w:ascii="Arial" w:hAnsi="Arial"/>
          <w:b w:val="0"/>
          <w:i w:val="0"/>
          <w:color w:val="1E293B"/>
          <w:sz w:val="17"/>
        </w:rPr>
        <w:t>risque de déformation ou de fissuration</w:t>
      </w:r>
    </w:p>
    <w:p>
      <w:pPr>
        <w:spacing w:after="20"/>
        <w:ind w:left="170" w:hanging="102"/>
      </w:pPr>
      <w:r>
        <w:rPr>
          <w:rFonts w:ascii="Arial" w:hAnsi="Arial"/>
          <w:b/>
          <w:i w:val="0"/>
          <w:color w:val="D71920"/>
          <w:sz w:val="18"/>
        </w:rPr>
        <w:t xml:space="preserve">• </w:t>
      </w:r>
      <w:r>
        <w:rPr>
          <w:rFonts w:ascii="Arial" w:hAnsi="Arial"/>
          <w:b w:val="0"/>
          <w:i w:val="0"/>
          <w:color w:val="1E293B"/>
          <w:sz w:val="17"/>
        </w:rPr>
        <w:t>usinabilité et conditions de production</w:t>
      </w:r>
    </w:p>
    <w:p>
      <w:pPr>
        <w:spacing w:after="20"/>
        <w:ind w:left="170" w:hanging="102"/>
      </w:pPr>
      <w:r>
        <w:rPr>
          <w:rFonts w:ascii="Arial" w:hAnsi="Arial"/>
          <w:b/>
          <w:i w:val="0"/>
          <w:color w:val="D71920"/>
          <w:sz w:val="18"/>
        </w:rPr>
        <w:t xml:space="preserve">• </w:t>
      </w:r>
      <w:r>
        <w:rPr>
          <w:rFonts w:ascii="Arial" w:hAnsi="Arial"/>
          <w:b w:val="0"/>
          <w:i w:val="0"/>
          <w:color w:val="1E293B"/>
          <w:sz w:val="17"/>
        </w:rPr>
        <w:t>traitement thermique final</w:t>
      </w:r>
    </w:p>
    <w:tbl>
      <w:tblPr>
        <w:tblW w:type="auto" w:w="0"/>
        <w:jc w:val="center"/>
        <w:tblLook w:firstColumn="1" w:firstRow="1" w:lastColumn="0" w:lastRow="0" w:noHBand="0" w:noVBand="1" w:val="04A0"/>
      </w:tblPr>
      <w:tblGrid>
        <w:gridCol w:w="10376"/>
      </w:tblGrid>
      <w:tr>
        <w:tc>
          <w:tcPr>
            <w:tcW w:type="dxa" w:w="10376"/>
            <w:shd w:fill="102C55"/>
            <w:tcMar>
              <w:top w:w="75" w:type="dxa"/>
              <w:start w:w="110" w:type="dxa"/>
              <w:bottom w:w="75" w:type="dxa"/>
              <w:end w:w="110" w:type="dxa"/>
            </w:tcMar>
          </w:tcPr>
          <w:p>
            <w:pPr>
              <w:spacing w:after="0"/>
            </w:pPr>
            <w:r>
              <w:rPr>
                <w:rFonts w:ascii="Arial" w:hAnsi="Arial"/>
                <w:b/>
                <w:i w:val="0"/>
                <w:color w:val="FFFFFF"/>
                <w:sz w:val="23"/>
              </w:rPr>
              <w:t>7. ESSAI JOMINY ET TREMPABILITÉ</w:t>
            </w:r>
          </w:p>
        </w:tc>
      </w:tr>
    </w:tbl>
    <w:p>
      <w:pPr>
        <w:spacing w:after="20" w:before="0"/>
      </w:pPr>
    </w:p>
    <w:p>
      <w:pPr>
        <w:spacing w:after="80" w:line="247" w:lineRule="auto"/>
      </w:pPr>
      <w:r>
        <w:rPr>
          <w:rFonts w:ascii="Arial" w:hAnsi="Arial"/>
          <w:b w:val="0"/>
          <w:i w:val="0"/>
          <w:color w:val="1E293B"/>
          <w:sz w:val="18"/>
        </w:rPr>
        <w:t>La trempabilité peut notamment être évaluée par l’essai Jominy. Une éprouvette cylindrique est austénitisée puis refroidie uniquement par une extrémité au moyen d’un jet d’eau normalisé. La dureté est ensuite mesurée à différentes distances de l’extrémité refroidie.</w:t>
      </w:r>
    </w:p>
    <w:p>
      <w:pPr>
        <w:spacing w:after="80" w:line="247" w:lineRule="auto"/>
      </w:pPr>
      <w:r>
        <w:rPr>
          <w:rFonts w:ascii="Arial" w:hAnsi="Arial"/>
          <w:b w:val="0"/>
          <w:i w:val="0"/>
          <w:color w:val="1E293B"/>
          <w:sz w:val="18"/>
        </w:rPr>
        <w:t>La courbe obtenue permet d’évaluer la capacité du matériau à conserver une dureté élevée à distance de la surface de refroidissement et constitue un outil important pour comparer la trempabilité de différentes nuances. Pour les pièces de forte section, cette caractéristique est essentielle afin d’obtenir une distribution plus homogène des propriétés mécaniques entre la surface et le cœur.</w:t>
      </w:r>
    </w:p>
    <w:tbl>
      <w:tblPr>
        <w:tblW w:type="auto" w:w="0"/>
        <w:jc w:val="center"/>
        <w:tblLook w:firstColumn="1" w:firstRow="1" w:lastColumn="0" w:lastRow="0" w:noHBand="0" w:noVBand="1" w:val="04A0"/>
      </w:tblPr>
      <w:tblGrid>
        <w:gridCol w:w="10376"/>
      </w:tblGrid>
      <w:tr>
        <w:tc>
          <w:tcPr>
            <w:tcW w:type="dxa" w:w="10376"/>
            <w:shd w:fill="102C55"/>
            <w:tcMar>
              <w:top w:w="75" w:type="dxa"/>
              <w:start w:w="110" w:type="dxa"/>
              <w:bottom w:w="75" w:type="dxa"/>
              <w:end w:w="110" w:type="dxa"/>
            </w:tcMar>
          </w:tcPr>
          <w:p>
            <w:pPr>
              <w:spacing w:after="0"/>
            </w:pPr>
            <w:r>
              <w:rPr>
                <w:rFonts w:ascii="Arial" w:hAnsi="Arial"/>
                <w:b/>
                <w:i w:val="0"/>
                <w:color w:val="FFFFFF"/>
                <w:sz w:val="23"/>
              </w:rPr>
              <w:t>8. PRINCIPALES FAMILLES D’ACIERS POUR TREMPE ET REVENU</w:t>
            </w:r>
          </w:p>
        </w:tc>
      </w:tr>
    </w:tbl>
    <w:p>
      <w:pPr>
        <w:spacing w:after="20" w:before="0"/>
      </w:pPr>
    </w:p>
    <w:p>
      <w:pPr>
        <w:spacing w:after="20"/>
      </w:pPr>
      <w:r>
        <w:rPr>
          <w:rFonts w:ascii="Arial" w:hAnsi="Arial"/>
          <w:b/>
          <w:i w:val="0"/>
          <w:color w:val="D71920"/>
          <w:sz w:val="18"/>
        </w:rPr>
        <w:t>1. Aciers non alliés</w:t>
      </w:r>
    </w:p>
    <w:p>
      <w:pPr>
        <w:spacing w:after="80"/>
      </w:pPr>
      <w:r>
        <w:rPr>
          <w:rFonts w:ascii="Arial" w:hAnsi="Arial"/>
          <w:b w:val="0"/>
          <w:i w:val="0"/>
          <w:color w:val="1E293B"/>
          <w:sz w:val="17"/>
        </w:rPr>
        <w:t>La résistance après trempe et revenu dépend fortement de la teneur en carbone. Ils conviennent principalement aux sections limitées lorsque la trempabilité en profondeur n’est pas critique.</w:t>
      </w:r>
    </w:p>
    <w:p>
      <w:pPr>
        <w:spacing w:after="20"/>
      </w:pPr>
      <w:r>
        <w:rPr>
          <w:rFonts w:ascii="Arial" w:hAnsi="Arial"/>
          <w:b/>
          <w:i w:val="0"/>
          <w:color w:val="D71920"/>
          <w:sz w:val="18"/>
        </w:rPr>
        <w:t>2. Aciers alliés au manganèse</w:t>
      </w:r>
    </w:p>
    <w:p>
      <w:pPr>
        <w:spacing w:after="80"/>
      </w:pPr>
      <w:r>
        <w:rPr>
          <w:rFonts w:ascii="Arial" w:hAnsi="Arial"/>
          <w:b w:val="0"/>
          <w:i w:val="0"/>
          <w:color w:val="1E293B"/>
          <w:sz w:val="17"/>
        </w:rPr>
        <w:t>Le manganèse augmente la trempabilité et permet d’obtenir des propriétés mécaniques supérieures à celles de certains aciers au carbone de même section.</w:t>
      </w:r>
    </w:p>
    <w:p>
      <w:pPr>
        <w:spacing w:after="20"/>
      </w:pPr>
      <w:r>
        <w:rPr>
          <w:rFonts w:ascii="Arial" w:hAnsi="Arial"/>
          <w:b/>
          <w:i w:val="0"/>
          <w:color w:val="D71920"/>
          <w:sz w:val="18"/>
        </w:rPr>
        <w:t>3. Aciers alliés au chrome</w:t>
      </w:r>
    </w:p>
    <w:p>
      <w:pPr>
        <w:spacing w:after="80"/>
      </w:pPr>
      <w:r>
        <w:rPr>
          <w:rFonts w:ascii="Arial" w:hAnsi="Arial"/>
          <w:b w:val="0"/>
          <w:i w:val="0"/>
          <w:color w:val="1E293B"/>
          <w:sz w:val="17"/>
        </w:rPr>
        <w:t>Le chrome améliore fortement la trempabilité, la résistance à l’usure et la capacité à obtenir une dureté plus homogène dans la section.</w:t>
      </w:r>
    </w:p>
    <w:p>
      <w:pPr>
        <w:spacing w:after="20"/>
      </w:pPr>
      <w:r>
        <w:rPr>
          <w:rFonts w:ascii="Arial" w:hAnsi="Arial"/>
          <w:b/>
          <w:i w:val="0"/>
          <w:color w:val="D71920"/>
          <w:sz w:val="18"/>
        </w:rPr>
        <w:t>4. Aciers alliés au chrome-molybdène</w:t>
      </w:r>
    </w:p>
    <w:p>
      <w:pPr>
        <w:spacing w:after="80"/>
      </w:pPr>
      <w:r>
        <w:rPr>
          <w:rFonts w:ascii="Arial" w:hAnsi="Arial"/>
          <w:b w:val="0"/>
          <w:i w:val="0"/>
          <w:color w:val="1E293B"/>
          <w:sz w:val="17"/>
        </w:rPr>
        <w:t>Cette famille comprend notamment le 42CrMo4 / 42CD4. Le molybdène renforce l’effet du chrome sur la trempabilité, améliore la résistance au revenu et contribue à réduire le risque de fragilisation au revenu.</w:t>
      </w:r>
    </w:p>
    <w:tbl>
      <w:tblPr>
        <w:tblW w:type="auto" w:w="0"/>
        <w:tblLook w:firstColumn="1" w:firstRow="1" w:lastColumn="0" w:lastRow="0" w:noHBand="0" w:noVBand="1" w:val="04A0"/>
      </w:tblPr>
      <w:tblGrid>
        <w:gridCol w:w="10376"/>
      </w:tblGrid>
      <w:tr>
        <w:tc>
          <w:tcPr>
            <w:tcW w:type="dxa" w:w="10376"/>
            <w:shd w:fill="EEF3F8"/>
            <w:tcBorders>
              <w:top w:val="single" w:sz="14" w:color="D71920"/>
              <w:bottom w:val="single" w:sz="14" w:color="D71920"/>
              <w:left w:val="single" w:sz="8" w:color="102C55"/>
              <w:right w:val="single" w:sz="8" w:color="102C55"/>
            </w:tcBorders>
            <w:tcMar>
              <w:top w:w="100" w:type="dxa"/>
              <w:start w:w="120" w:type="dxa"/>
              <w:bottom w:w="100" w:type="dxa"/>
              <w:end w:w="120" w:type="dxa"/>
            </w:tcMar>
          </w:tcPr>
          <w:p>
            <w:r>
              <w:rPr>
                <w:rFonts w:ascii="Arial" w:hAnsi="Arial"/>
                <w:b/>
                <w:i w:val="0"/>
                <w:color w:val="102C55"/>
                <w:sz w:val="22"/>
              </w:rPr>
              <w:t>NOVALPES MÉTAUX FRANCE</w:t>
            </w:r>
          </w:p>
          <w:p>
            <w:r>
              <w:rPr>
                <w:rFonts w:ascii="Arial" w:hAnsi="Arial"/>
                <w:b w:val="0"/>
                <w:i w:val="0"/>
                <w:color w:val="1E293B"/>
                <w:sz w:val="17"/>
              </w:rPr>
              <w:t>propose des solutions d’approvisionnement en 42CrMo4, 42CrMoS4 et autres aciers alliés pour trempe et revenu, selon les dimensions, états de livraison, exigences mécaniques et besoins documentaires de chaque projet.</w:t>
            </w:r>
          </w:p>
          <w:p>
            <w:r>
              <w:rPr>
                <w:rFonts w:ascii="Arial" w:hAnsi="Arial"/>
                <w:b/>
                <w:i w:val="0"/>
                <w:color w:val="D71920"/>
                <w:sz w:val="17"/>
              </w:rPr>
              <w:t>Les certificats matière EN 10204 3.1, analyses de coulée et documents de traçabilité peuvent être fournis selon disponibilité et exigences du client.</w:t>
            </w:r>
          </w:p>
        </w:tc>
      </w:tr>
    </w:tbl>
    <w:p>
      <w:pPr>
        <w:spacing w:before="80"/>
        <w:jc w:val="center"/>
      </w:pPr>
      <w:r>
        <w:rPr>
          <w:rFonts w:ascii="Arial" w:hAnsi="Arial"/>
          <w:b w:val="0"/>
          <w:i/>
          <w:color w:val="5B6573"/>
          <w:sz w:val="14"/>
        </w:rPr>
        <w:t>Note technique : les valeurs indiquées sont données à titre informatif. Les caractéristiques applicables à une fourniture doivent être confirmées par la norme, l’état de livraison, la section et le certificat matière du lot concerné.</w:t>
      </w:r>
    </w:p>
    <w:sectPr w:rsidR="00FC693F" w:rsidRPr="0006063C" w:rsidSect="00034616">
      <w:headerReference w:type="default" r:id="rId9"/>
      <w:footerReference w:type="default" r:id="rId10"/>
      <w:pgSz w:w="11906" w:h="16838"/>
      <w:pgMar w:top="624" w:right="765" w:bottom="624" w:left="76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5B6573"/>
        <w:sz w:val="14"/>
      </w:rPr>
      <w:t>NOVALPES MÉTAUX FRANCE  |  Fiche technique - 42CrMo4 / 42CD4 / AISI-SAE 4140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188000" cy="694868"/>
          <wp:docPr id="1" name="Picture 1"/>
          <wp:cNvGraphicFramePr>
            <a:graphicFrameLocks noChangeAspect="1"/>
          </wp:cNvGraphicFramePr>
          <a:graphic>
            <a:graphicData uri="http://schemas.openxmlformats.org/drawingml/2006/picture">
              <pic:pic>
                <pic:nvPicPr>
                  <pic:cNvPr id="0" name="novalpes_logo_crop.png"/>
                  <pic:cNvPicPr/>
                </pic:nvPicPr>
                <pic:blipFill>
                  <a:blip r:embed="rId1"/>
                  <a:stretch>
                    <a:fillRect/>
                  </a:stretch>
                </pic:blipFill>
                <pic:spPr>
                  <a:xfrm>
                    <a:off x="0" y="0"/>
                    <a:ext cx="1188000" cy="694868"/>
                  </a:xfrm>
                  <a:prstGeom prst="rect"/>
                </pic:spPr>
              </pic:pic>
            </a:graphicData>
          </a:graphic>
        </wp:inline>
      </w:drawing>
    </w:r>
  </w:p>
  <w:tbl>
    <w:tblPr>
      <w:tblW w:type="auto" w:w="0"/>
      <w:tblLook w:firstColumn="1" w:firstRow="1" w:lastColumn="0" w:lastRow="0" w:noHBand="0" w:noVBand="1" w:val="04A0"/>
    </w:tblPr>
    <w:tblGrid>
      <w:gridCol w:w="5102"/>
      <w:gridCol w:w="5102"/>
    </w:tblGrid>
    <w:tr>
      <w:tc>
        <w:tcPr>
          <w:tcW w:type="dxa" w:w="5102"/>
          <w:tcBorders>
            <w:bottom w:val="single" w:sz="12" w:color="D71920"/>
          </w:tcBorders>
        </w:tcPr>
        <w:p>
          <w:r/>
        </w:p>
      </w:tc>
      <w:tc>
        <w:tcPr>
          <w:tcW w:type="dxa" w:w="5102"/>
          <w:tcBorders>
            <w:bottom w:val="single" w:sz="12" w:color="D71920"/>
          </w:tcBorders>
        </w:tcPr>
        <w:p>
          <w:pPr>
            <w:jc w:val="right"/>
          </w:pPr>
          <w:r>
            <w:rPr>
              <w:rFonts w:ascii="Arial" w:hAnsi="Arial"/>
              <w:b/>
              <w:i w:val="0"/>
              <w:color w:val="102C55"/>
              <w:sz w:val="17"/>
            </w:rPr>
            <w:t>NOVALPES MÉTAUX FRANCE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